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30" w:rsidRPr="00D66061" w:rsidRDefault="00F77030" w:rsidP="00F77030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66061">
        <w:rPr>
          <w:rFonts w:ascii="Times New Roman" w:hAnsi="Times New Roman" w:cs="Times New Roman"/>
          <w:i/>
          <w:sz w:val="24"/>
          <w:szCs w:val="24"/>
          <w:highlight w:val="darkGray"/>
        </w:rPr>
        <w:t xml:space="preserve">Eligibility Criteria for admission to </w:t>
      </w:r>
      <w:r>
        <w:rPr>
          <w:rFonts w:ascii="Times New Roman" w:hAnsi="Times New Roman" w:cs="Times New Roman"/>
          <w:i/>
          <w:sz w:val="24"/>
          <w:szCs w:val="24"/>
          <w:highlight w:val="darkGray"/>
        </w:rPr>
        <w:t>PhD</w:t>
      </w:r>
      <w:r w:rsidRPr="00D66061">
        <w:rPr>
          <w:rFonts w:ascii="Times New Roman" w:hAnsi="Times New Roman" w:cs="Times New Roman"/>
          <w:i/>
          <w:sz w:val="24"/>
          <w:szCs w:val="24"/>
          <w:highlight w:val="darkGray"/>
        </w:rPr>
        <w:t>:</w:t>
      </w:r>
    </w:p>
    <w:p w:rsidR="00F77030" w:rsidRDefault="00F77030" w:rsidP="004243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</w:t>
      </w:r>
      <w:r w:rsidR="00406707">
        <w:rPr>
          <w:rFonts w:ascii="Times New Roman" w:hAnsi="Times New Roman" w:cs="Times New Roman"/>
          <w:sz w:val="20"/>
          <w:szCs w:val="20"/>
        </w:rPr>
        <w:t>.Sc</w:t>
      </w:r>
      <w:proofErr w:type="spellEnd"/>
      <w:r w:rsidR="00406707">
        <w:rPr>
          <w:rFonts w:ascii="Times New Roman" w:hAnsi="Times New Roman" w:cs="Times New Roman"/>
          <w:sz w:val="20"/>
          <w:szCs w:val="20"/>
        </w:rPr>
        <w:t xml:space="preserve"> in Physics, Applied Physics, Mathematics,  Chemistry, Biophysics, material Science, Astronomy  &amp;Astrophysics, Electronics, Geophysics, Biomedical Science, Electronics, Nanoscience, or Environmental Science </w:t>
      </w:r>
      <w:r w:rsidRPr="009006FC">
        <w:rPr>
          <w:rFonts w:ascii="Times New Roman" w:hAnsi="Times New Roman" w:cs="Times New Roman"/>
          <w:sz w:val="20"/>
          <w:szCs w:val="20"/>
        </w:rPr>
        <w:t xml:space="preserve">with </w:t>
      </w:r>
      <w:r w:rsidRPr="009006FC">
        <w:rPr>
          <w:rFonts w:ascii="Times New Roman" w:eastAsia="Times New Roman" w:hAnsi="Times New Roman" w:cs="Times New Roman"/>
          <w:color w:val="300133"/>
          <w:sz w:val="20"/>
          <w:szCs w:val="20"/>
          <w:shd w:val="clear" w:color="auto" w:fill="FFFFFF"/>
        </w:rPr>
        <w:t>the applicant having graduated under the  10+2+3 scheme or any equivalent scheme</w:t>
      </w:r>
      <w:r w:rsidRPr="009006FC">
        <w:rPr>
          <w:rFonts w:ascii="Times New Roman" w:hAnsi="Times New Roman" w:cs="Times New Roman"/>
          <w:sz w:val="20"/>
          <w:szCs w:val="20"/>
        </w:rPr>
        <w:t xml:space="preserve">  from a university whose examination is recognized as equivalent to that of Delhi University and having fulfilled  all other conditions of eligibility.  The minimum qualifying marks are 50%.</w:t>
      </w:r>
    </w:p>
    <w:p w:rsidR="00406707" w:rsidRDefault="00406707" w:rsidP="004243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</w:t>
      </w:r>
    </w:p>
    <w:p w:rsidR="00406707" w:rsidRDefault="00406707" w:rsidP="004243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M.Tech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hAnsi="Times New Roman" w:cs="Times New Roman"/>
          <w:sz w:val="20"/>
          <w:szCs w:val="20"/>
        </w:rPr>
        <w:t>Chemcial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Ebgineering</w:t>
      </w:r>
      <w:proofErr w:type="spellEnd"/>
      <w:r>
        <w:rPr>
          <w:rFonts w:ascii="Times New Roman" w:hAnsi="Times New Roman" w:cs="Times New Roman"/>
          <w:sz w:val="20"/>
          <w:szCs w:val="20"/>
        </w:rPr>
        <w:t>, Electrical Engineering, mechanical Engineering, Computer Science, material Science, Electronics, Nanotechnology, Nuclear Science, Applied Optics</w:t>
      </w:r>
    </w:p>
    <w:p w:rsidR="00FC78DF" w:rsidRPr="009006FC" w:rsidRDefault="00FC78DF" w:rsidP="004243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030" w:rsidRPr="00D66061" w:rsidRDefault="00F77030" w:rsidP="00F7703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highlight w:val="darkGray"/>
        </w:rPr>
        <w:t>Mode of admission and d</w:t>
      </w:r>
      <w:r w:rsidRPr="00D66061">
        <w:rPr>
          <w:rFonts w:ascii="Times New Roman" w:hAnsi="Times New Roman" w:cs="Times New Roman"/>
          <w:i/>
          <w:sz w:val="24"/>
          <w:szCs w:val="24"/>
          <w:highlight w:val="darkGray"/>
        </w:rPr>
        <w:t>istribution of seats:</w:t>
      </w:r>
      <w:r w:rsidRPr="00D6606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06707" w:rsidRDefault="00F77030" w:rsidP="004243C1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Admission to the PhD </w:t>
      </w:r>
      <w:proofErr w:type="spellStart"/>
      <w:r>
        <w:rPr>
          <w:rFonts w:ascii="Times New Roman" w:hAnsi="Times New Roman" w:cs="Times New Roman"/>
          <w:sz w:val="20"/>
          <w:szCs w:val="20"/>
        </w:rPr>
        <w:t>programme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comprises of a written examination followed by an interview.</w:t>
      </w:r>
      <w:r w:rsidRPr="0056229A">
        <w:rPr>
          <w:rFonts w:ascii="Times New Roman" w:hAnsi="Times New Roman" w:cs="Times New Roman"/>
          <w:sz w:val="20"/>
          <w:szCs w:val="20"/>
        </w:rPr>
        <w:t xml:space="preserve"> </w:t>
      </w:r>
      <w:r w:rsidRPr="009006FC">
        <w:rPr>
          <w:rFonts w:ascii="Times New Roman" w:hAnsi="Times New Roman" w:cs="Times New Roman"/>
          <w:sz w:val="20"/>
          <w:szCs w:val="20"/>
        </w:rPr>
        <w:t xml:space="preserve">The entrance exam is typically held </w:t>
      </w:r>
      <w:r w:rsidR="00182E4A">
        <w:rPr>
          <w:rFonts w:ascii="Times New Roman" w:hAnsi="Times New Roman" w:cs="Times New Roman"/>
          <w:sz w:val="20"/>
          <w:szCs w:val="20"/>
        </w:rPr>
        <w:t>twice a year, normally in January and June</w:t>
      </w:r>
      <w:r w:rsidRPr="009006FC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F79D2" w:rsidRPr="009006FC">
        <w:rPr>
          <w:rFonts w:ascii="Times New Roman" w:hAnsi="Times New Roman" w:cs="Times New Roman"/>
          <w:sz w:val="20"/>
          <w:szCs w:val="20"/>
        </w:rPr>
        <w:t xml:space="preserve">Check the Delhi </w:t>
      </w:r>
      <w:r w:rsidR="00FF79D2" w:rsidRPr="001769F4">
        <w:rPr>
          <w:rFonts w:ascii="Times New Roman" w:hAnsi="Times New Roman" w:cs="Times New Roman"/>
          <w:color w:val="000000" w:themeColor="text1"/>
          <w:sz w:val="20"/>
          <w:szCs w:val="20"/>
        </w:rPr>
        <w:t>University’s website (http://admissions.du.ac.in) for the announcement of the examination and details.</w:t>
      </w:r>
    </w:p>
    <w:p w:rsidR="00406707" w:rsidRDefault="00406707" w:rsidP="004243C1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Those in recipient of any national/international fellowship or holding a regular position in national institutes/universities are exempt from the written examination and can appear directly in the interview.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F79D2" w:rsidRPr="009006FC">
        <w:rPr>
          <w:rFonts w:ascii="Times New Roman" w:hAnsi="Times New Roman" w:cs="Times New Roman"/>
          <w:sz w:val="20"/>
          <w:szCs w:val="20"/>
        </w:rPr>
        <w:t xml:space="preserve">The number of available seats for the </w:t>
      </w:r>
      <w:r w:rsidR="00FF79D2">
        <w:rPr>
          <w:rFonts w:ascii="Times New Roman" w:hAnsi="Times New Roman" w:cs="Times New Roman"/>
          <w:sz w:val="20"/>
          <w:szCs w:val="20"/>
        </w:rPr>
        <w:t xml:space="preserve">PhD </w:t>
      </w:r>
      <w:proofErr w:type="spellStart"/>
      <w:r w:rsidR="00FF79D2">
        <w:rPr>
          <w:rFonts w:ascii="Times New Roman" w:hAnsi="Times New Roman" w:cs="Times New Roman"/>
          <w:sz w:val="20"/>
          <w:szCs w:val="20"/>
        </w:rPr>
        <w:t>programme</w:t>
      </w:r>
      <w:proofErr w:type="spellEnd"/>
      <w:r w:rsidR="00FF79D2" w:rsidRPr="009006FC">
        <w:rPr>
          <w:rFonts w:ascii="Times New Roman" w:hAnsi="Times New Roman" w:cs="Times New Roman"/>
          <w:sz w:val="20"/>
          <w:szCs w:val="20"/>
        </w:rPr>
        <w:t xml:space="preserve"> </w:t>
      </w:r>
      <w:r w:rsidR="00FF79D2">
        <w:rPr>
          <w:rFonts w:ascii="Times New Roman" w:hAnsi="Times New Roman" w:cs="Times New Roman"/>
          <w:sz w:val="20"/>
          <w:szCs w:val="20"/>
        </w:rPr>
        <w:t>is variable</w:t>
      </w:r>
      <w:r w:rsidR="00FF79D2" w:rsidRPr="009006FC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The total number of seats available in this category for 2018-19 is 40.</w:t>
      </w:r>
    </w:p>
    <w:p w:rsidR="00406707" w:rsidRPr="00FF79D2" w:rsidRDefault="00FF79D2" w:rsidP="004243C1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university offers PhD admission and a fellowship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called the </w:t>
      </w:r>
      <w:r w:rsidRPr="006607F4">
        <w:rPr>
          <w:rFonts w:ascii="Times New Roman" w:hAnsi="Times New Roman" w:cs="Times New Roman"/>
          <w:sz w:val="20"/>
          <w:szCs w:val="20"/>
        </w:rPr>
        <w:t>non-NET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607F4">
        <w:rPr>
          <w:rFonts w:ascii="Times New Roman" w:hAnsi="Times New Roman" w:cs="Times New Roman"/>
          <w:sz w:val="20"/>
          <w:szCs w:val="20"/>
        </w:rPr>
        <w:t>University</w:t>
      </w:r>
      <w:r>
        <w:rPr>
          <w:rFonts w:ascii="Times New Roman" w:hAnsi="Times New Roman" w:cs="Times New Roman"/>
          <w:sz w:val="20"/>
          <w:szCs w:val="20"/>
        </w:rPr>
        <w:t xml:space="preserve"> Fellowship)</w:t>
      </w:r>
      <w:r>
        <w:rPr>
          <w:rFonts w:ascii="Times New Roman" w:hAnsi="Times New Roman" w:cs="Times New Roman"/>
          <w:sz w:val="20"/>
          <w:szCs w:val="20"/>
        </w:rPr>
        <w:t xml:space="preserve"> to those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candidates </w:t>
      </w:r>
      <w:r w:rsidRPr="00FF79D2">
        <w:rPr>
          <w:rFonts w:ascii="Times New Roman" w:hAnsi="Times New Roman" w:cs="Times New Roman"/>
          <w:sz w:val="20"/>
          <w:szCs w:val="20"/>
        </w:rPr>
        <w:t xml:space="preserve"> </w:t>
      </w:r>
      <w:r w:rsidR="00406707" w:rsidRPr="00FF79D2">
        <w:rPr>
          <w:rFonts w:ascii="Times New Roman" w:hAnsi="Times New Roman" w:cs="Times New Roman"/>
          <w:sz w:val="20"/>
          <w:szCs w:val="20"/>
        </w:rPr>
        <w:t xml:space="preserve"> who </w:t>
      </w:r>
      <w:r w:rsidR="006607F4" w:rsidRPr="00FF79D2">
        <w:rPr>
          <w:rFonts w:ascii="Times New Roman" w:hAnsi="Times New Roman" w:cs="Times New Roman"/>
          <w:sz w:val="20"/>
          <w:szCs w:val="20"/>
        </w:rPr>
        <w:t xml:space="preserve">qualify the </w:t>
      </w:r>
      <w:r w:rsidRPr="00FF79D2">
        <w:rPr>
          <w:rFonts w:ascii="Times New Roman" w:hAnsi="Times New Roman" w:cs="Times New Roman"/>
          <w:sz w:val="20"/>
          <w:szCs w:val="20"/>
        </w:rPr>
        <w:t>written and interv</w:t>
      </w:r>
      <w:r>
        <w:rPr>
          <w:rFonts w:ascii="Times New Roman" w:hAnsi="Times New Roman" w:cs="Times New Roman"/>
          <w:sz w:val="20"/>
          <w:szCs w:val="20"/>
        </w:rPr>
        <w:t>iew conducted by the department.</w:t>
      </w:r>
      <w:r w:rsidR="001769F4" w:rsidRPr="00FF79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79D2" w:rsidRPr="00FF79D2" w:rsidRDefault="00FF79D2" w:rsidP="004243C1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Candidates a vali</w:t>
      </w:r>
      <w:r w:rsidRPr="00FF79D2">
        <w:rPr>
          <w:rFonts w:ascii="Times New Roman" w:hAnsi="Times New Roman" w:cs="Times New Roman"/>
          <w:sz w:val="20"/>
          <w:szCs w:val="20"/>
        </w:rPr>
        <w:t>d JEST/GATE score as stipulated by the department are exempt from the written exam</w:t>
      </w:r>
      <w:r>
        <w:rPr>
          <w:rFonts w:ascii="Times New Roman" w:hAnsi="Times New Roman" w:cs="Times New Roman"/>
          <w:sz w:val="20"/>
          <w:szCs w:val="20"/>
        </w:rPr>
        <w:t xml:space="preserve"> and are eligible for the non-NET University Fellowship. </w:t>
      </w:r>
    </w:p>
    <w:p w:rsidR="00F77030" w:rsidRPr="001769F4" w:rsidRDefault="00F77030" w:rsidP="004243C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69F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 available seats are distributed in the various categories (General, SC</w:t>
      </w:r>
      <w:proofErr w:type="gramStart"/>
      <w:r w:rsidRPr="001769F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,ST</w:t>
      </w:r>
      <w:proofErr w:type="gramEnd"/>
      <w:r w:rsidRPr="001769F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OBC, etc.),  as per applicable government rules.</w:t>
      </w:r>
      <w:r w:rsidR="0040670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F77030" w:rsidRPr="004D72D7" w:rsidRDefault="00FF79D2" w:rsidP="00F7703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highlight w:val="darkGray"/>
        </w:rPr>
        <w:t>Non-NET University Fellowships</w:t>
      </w:r>
      <w:r w:rsidR="00F77030" w:rsidRPr="002D6043">
        <w:rPr>
          <w:rFonts w:ascii="Times New Roman" w:hAnsi="Times New Roman" w:cs="Times New Roman"/>
          <w:i/>
          <w:sz w:val="24"/>
          <w:szCs w:val="24"/>
          <w:highlight w:val="darkGray"/>
        </w:rPr>
        <w:t xml:space="preserve"> at a glance:</w:t>
      </w:r>
      <w:r w:rsidR="00F77030" w:rsidRPr="004D72D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77030" w:rsidRDefault="00FF79D2" w:rsidP="00F7703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table </w:t>
      </w:r>
      <w:r w:rsidR="00F77030" w:rsidRPr="009006FC">
        <w:rPr>
          <w:rFonts w:ascii="Times New Roman" w:hAnsi="Times New Roman" w:cs="Times New Roman"/>
          <w:sz w:val="20"/>
          <w:szCs w:val="20"/>
        </w:rPr>
        <w:t xml:space="preserve">below illustrates the success rate for </w:t>
      </w:r>
      <w:r w:rsidR="00222A57">
        <w:rPr>
          <w:rFonts w:ascii="Times New Roman" w:hAnsi="Times New Roman" w:cs="Times New Roman"/>
          <w:sz w:val="20"/>
          <w:szCs w:val="20"/>
        </w:rPr>
        <w:t>non-NET Fellowships for a</w:t>
      </w:r>
      <w:r w:rsidR="00F77030" w:rsidRPr="009006FC">
        <w:rPr>
          <w:rFonts w:ascii="Times New Roman" w:hAnsi="Times New Roman" w:cs="Times New Roman"/>
          <w:sz w:val="20"/>
          <w:szCs w:val="20"/>
        </w:rPr>
        <w:t xml:space="preserve">dmission to the </w:t>
      </w:r>
      <w:r w:rsidR="00F77030">
        <w:rPr>
          <w:rFonts w:ascii="Times New Roman" w:hAnsi="Times New Roman" w:cs="Times New Roman"/>
          <w:sz w:val="20"/>
          <w:szCs w:val="20"/>
        </w:rPr>
        <w:t>PhD</w:t>
      </w:r>
      <w:r w:rsidR="00F77030" w:rsidRPr="009006F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77030" w:rsidRPr="009006FC">
        <w:rPr>
          <w:rFonts w:ascii="Times New Roman" w:hAnsi="Times New Roman" w:cs="Times New Roman"/>
          <w:sz w:val="20"/>
          <w:szCs w:val="20"/>
        </w:rPr>
        <w:t>programme</w:t>
      </w:r>
      <w:proofErr w:type="spellEnd"/>
      <w:r w:rsidR="00F77030" w:rsidRPr="009006FC">
        <w:rPr>
          <w:rFonts w:ascii="Times New Roman" w:hAnsi="Times New Roman" w:cs="Times New Roman"/>
          <w:sz w:val="20"/>
          <w:szCs w:val="20"/>
        </w:rPr>
        <w:t xml:space="preserve"> over the past few years.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"/>
        <w:gridCol w:w="437"/>
        <w:gridCol w:w="427"/>
        <w:gridCol w:w="587"/>
        <w:gridCol w:w="516"/>
        <w:gridCol w:w="602"/>
        <w:gridCol w:w="1474"/>
      </w:tblGrid>
      <w:tr w:rsidR="00223698" w:rsidRPr="009006FC" w:rsidTr="00223698">
        <w:trPr>
          <w:trHeight w:val="154"/>
        </w:trPr>
        <w:tc>
          <w:tcPr>
            <w:tcW w:w="1027" w:type="dxa"/>
            <w:vMerge w:val="restart"/>
          </w:tcPr>
          <w:p w:rsidR="00223698" w:rsidRPr="00035644" w:rsidRDefault="00223698" w:rsidP="008735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5644">
              <w:rPr>
                <w:rFonts w:ascii="Times New Roman" w:hAnsi="Times New Roman" w:cs="Times New Roman"/>
                <w:b/>
                <w:sz w:val="18"/>
                <w:szCs w:val="18"/>
              </w:rPr>
              <w:t>Admission Year</w:t>
            </w:r>
          </w:p>
        </w:tc>
        <w:tc>
          <w:tcPr>
            <w:tcW w:w="2569" w:type="dxa"/>
            <w:gridSpan w:val="5"/>
          </w:tcPr>
          <w:p w:rsidR="00223698" w:rsidRPr="00035644" w:rsidRDefault="00223698" w:rsidP="008735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5644">
              <w:rPr>
                <w:rFonts w:ascii="Times New Roman" w:hAnsi="Times New Roman" w:cs="Times New Roman"/>
                <w:b/>
                <w:sz w:val="18"/>
                <w:szCs w:val="18"/>
              </w:rPr>
              <w:t>Distribution of sanctioned seats for University Fellowships as per Govt. of India rules</w:t>
            </w:r>
          </w:p>
        </w:tc>
        <w:tc>
          <w:tcPr>
            <w:tcW w:w="1474" w:type="dxa"/>
          </w:tcPr>
          <w:p w:rsidR="00223698" w:rsidRPr="00035644" w:rsidRDefault="00223698" w:rsidP="001769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Success rate of admission</w:t>
            </w:r>
          </w:p>
        </w:tc>
      </w:tr>
      <w:tr w:rsidR="00223698" w:rsidRPr="009006FC" w:rsidTr="00223698">
        <w:trPr>
          <w:trHeight w:val="153"/>
        </w:trPr>
        <w:tc>
          <w:tcPr>
            <w:tcW w:w="1027" w:type="dxa"/>
            <w:vMerge/>
          </w:tcPr>
          <w:p w:rsidR="00223698" w:rsidRPr="00A16707" w:rsidRDefault="00223698" w:rsidP="008735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</w:tcPr>
          <w:p w:rsidR="00223698" w:rsidRPr="00A16707" w:rsidRDefault="00223698" w:rsidP="002236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707">
              <w:rPr>
                <w:rFonts w:ascii="Times New Roman" w:hAnsi="Times New Roman" w:cs="Times New Roman"/>
                <w:sz w:val="18"/>
                <w:szCs w:val="18"/>
              </w:rPr>
              <w:t>SC</w:t>
            </w:r>
          </w:p>
        </w:tc>
        <w:tc>
          <w:tcPr>
            <w:tcW w:w="427" w:type="dxa"/>
          </w:tcPr>
          <w:p w:rsidR="00223698" w:rsidRPr="00A16707" w:rsidRDefault="00223698" w:rsidP="002236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707">
              <w:rPr>
                <w:rFonts w:ascii="Times New Roman" w:hAnsi="Times New Roman" w:cs="Times New Roman"/>
                <w:sz w:val="18"/>
                <w:szCs w:val="18"/>
              </w:rPr>
              <w:t>ST</w:t>
            </w:r>
          </w:p>
        </w:tc>
        <w:tc>
          <w:tcPr>
            <w:tcW w:w="587" w:type="dxa"/>
          </w:tcPr>
          <w:p w:rsidR="00223698" w:rsidRPr="00A16707" w:rsidRDefault="00223698" w:rsidP="002236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707">
              <w:rPr>
                <w:rFonts w:ascii="Times New Roman" w:hAnsi="Times New Roman" w:cs="Times New Roman"/>
                <w:sz w:val="18"/>
                <w:szCs w:val="18"/>
              </w:rPr>
              <w:t>OBC</w:t>
            </w:r>
          </w:p>
        </w:tc>
        <w:tc>
          <w:tcPr>
            <w:tcW w:w="516" w:type="dxa"/>
          </w:tcPr>
          <w:p w:rsidR="00223698" w:rsidRPr="00A16707" w:rsidRDefault="00223698" w:rsidP="002236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707">
              <w:rPr>
                <w:rFonts w:ascii="Times New Roman" w:hAnsi="Times New Roman" w:cs="Times New Roman"/>
                <w:sz w:val="18"/>
                <w:szCs w:val="18"/>
              </w:rPr>
              <w:t>Gen</w:t>
            </w:r>
          </w:p>
        </w:tc>
        <w:tc>
          <w:tcPr>
            <w:tcW w:w="602" w:type="dxa"/>
          </w:tcPr>
          <w:p w:rsidR="00223698" w:rsidRPr="009006FC" w:rsidRDefault="00223698" w:rsidP="002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707">
              <w:rPr>
                <w:rFonts w:ascii="Times New Roman" w:hAnsi="Times New Roman" w:cs="Times New Roman"/>
                <w:sz w:val="18"/>
                <w:szCs w:val="18"/>
              </w:rPr>
              <w:t>Tota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474" w:type="dxa"/>
          </w:tcPr>
          <w:p w:rsidR="00223698" w:rsidRPr="00A16707" w:rsidRDefault="00223698" w:rsidP="00223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3698" w:rsidRPr="009006FC" w:rsidTr="00223698">
        <w:tc>
          <w:tcPr>
            <w:tcW w:w="1027" w:type="dxa"/>
          </w:tcPr>
          <w:p w:rsidR="00223698" w:rsidRPr="00A16707" w:rsidRDefault="00223698" w:rsidP="00873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707">
              <w:rPr>
                <w:rFonts w:ascii="Times New Roman" w:hAnsi="Times New Roman" w:cs="Times New Roman"/>
                <w:sz w:val="18"/>
                <w:szCs w:val="18"/>
              </w:rPr>
              <w:t>2012-13</w:t>
            </w:r>
          </w:p>
        </w:tc>
        <w:tc>
          <w:tcPr>
            <w:tcW w:w="437" w:type="dxa"/>
          </w:tcPr>
          <w:p w:rsidR="00223698" w:rsidRPr="009006FC" w:rsidRDefault="00223698" w:rsidP="00223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</w:tcPr>
          <w:p w:rsidR="00223698" w:rsidRPr="009006FC" w:rsidRDefault="00223698" w:rsidP="00223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:rsidR="00223698" w:rsidRPr="009006FC" w:rsidRDefault="00223698" w:rsidP="00223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223698" w:rsidRPr="009006FC" w:rsidRDefault="00223698" w:rsidP="00223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2" w:type="dxa"/>
          </w:tcPr>
          <w:p w:rsidR="00223698" w:rsidRPr="009006FC" w:rsidRDefault="00223698" w:rsidP="00223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74" w:type="dxa"/>
          </w:tcPr>
          <w:p w:rsidR="00223698" w:rsidRPr="00035644" w:rsidRDefault="00223698" w:rsidP="00223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1:25</w:t>
            </w:r>
          </w:p>
        </w:tc>
      </w:tr>
      <w:tr w:rsidR="00223698" w:rsidRPr="009006FC" w:rsidTr="00223698">
        <w:tc>
          <w:tcPr>
            <w:tcW w:w="1027" w:type="dxa"/>
          </w:tcPr>
          <w:p w:rsidR="00223698" w:rsidRPr="00A16707" w:rsidRDefault="00223698" w:rsidP="00873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707">
              <w:rPr>
                <w:rFonts w:ascii="Times New Roman" w:hAnsi="Times New Roman" w:cs="Times New Roman"/>
                <w:sz w:val="18"/>
                <w:szCs w:val="18"/>
              </w:rPr>
              <w:t>2013-14</w:t>
            </w:r>
          </w:p>
        </w:tc>
        <w:tc>
          <w:tcPr>
            <w:tcW w:w="437" w:type="dxa"/>
          </w:tcPr>
          <w:p w:rsidR="00223698" w:rsidRPr="009006FC" w:rsidRDefault="00223698" w:rsidP="00223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</w:tcPr>
          <w:p w:rsidR="00223698" w:rsidRPr="009006FC" w:rsidRDefault="00223698" w:rsidP="00223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:rsidR="00223698" w:rsidRPr="009006FC" w:rsidRDefault="00223698" w:rsidP="00223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223698" w:rsidRPr="009006FC" w:rsidRDefault="00223698" w:rsidP="00223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2" w:type="dxa"/>
          </w:tcPr>
          <w:p w:rsidR="00223698" w:rsidRPr="009006FC" w:rsidRDefault="00223698" w:rsidP="00223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74" w:type="dxa"/>
          </w:tcPr>
          <w:p w:rsidR="00223698" w:rsidRPr="00035644" w:rsidRDefault="00223698" w:rsidP="00223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1:28</w:t>
            </w:r>
          </w:p>
        </w:tc>
      </w:tr>
      <w:tr w:rsidR="00223698" w:rsidRPr="009006FC" w:rsidTr="00223698">
        <w:tc>
          <w:tcPr>
            <w:tcW w:w="1027" w:type="dxa"/>
          </w:tcPr>
          <w:p w:rsidR="00223698" w:rsidRPr="00A16707" w:rsidRDefault="00223698" w:rsidP="00873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707">
              <w:rPr>
                <w:rFonts w:ascii="Times New Roman" w:hAnsi="Times New Roman" w:cs="Times New Roman"/>
                <w:sz w:val="18"/>
                <w:szCs w:val="18"/>
              </w:rPr>
              <w:t>2014-15</w:t>
            </w:r>
          </w:p>
        </w:tc>
        <w:tc>
          <w:tcPr>
            <w:tcW w:w="437" w:type="dxa"/>
          </w:tcPr>
          <w:p w:rsidR="00223698" w:rsidRPr="009006FC" w:rsidRDefault="00223698" w:rsidP="00223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</w:tcPr>
          <w:p w:rsidR="00223698" w:rsidRPr="009006FC" w:rsidRDefault="00223698" w:rsidP="00223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:rsidR="00223698" w:rsidRPr="009006FC" w:rsidRDefault="00223698" w:rsidP="00223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223698" w:rsidRPr="009006FC" w:rsidRDefault="00223698" w:rsidP="00223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2" w:type="dxa"/>
          </w:tcPr>
          <w:p w:rsidR="00223698" w:rsidRPr="009006FC" w:rsidRDefault="00223698" w:rsidP="00223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74" w:type="dxa"/>
          </w:tcPr>
          <w:p w:rsidR="00223698" w:rsidRPr="00035644" w:rsidRDefault="00223698" w:rsidP="00223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1:23</w:t>
            </w:r>
          </w:p>
        </w:tc>
      </w:tr>
      <w:tr w:rsidR="00223698" w:rsidRPr="009006FC" w:rsidTr="00223698">
        <w:tc>
          <w:tcPr>
            <w:tcW w:w="1027" w:type="dxa"/>
          </w:tcPr>
          <w:p w:rsidR="00223698" w:rsidRPr="00A16707" w:rsidRDefault="00223698" w:rsidP="00873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707">
              <w:rPr>
                <w:rFonts w:ascii="Times New Roman" w:hAnsi="Times New Roman" w:cs="Times New Roman"/>
                <w:sz w:val="18"/>
                <w:szCs w:val="18"/>
              </w:rPr>
              <w:t>2015-16</w:t>
            </w:r>
          </w:p>
        </w:tc>
        <w:tc>
          <w:tcPr>
            <w:tcW w:w="437" w:type="dxa"/>
          </w:tcPr>
          <w:p w:rsidR="00223698" w:rsidRPr="009006FC" w:rsidRDefault="00223698" w:rsidP="00223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" w:type="dxa"/>
          </w:tcPr>
          <w:p w:rsidR="00223698" w:rsidRPr="009006FC" w:rsidRDefault="00223698" w:rsidP="00223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:rsidR="00223698" w:rsidRPr="009006FC" w:rsidRDefault="00223698" w:rsidP="00223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223698" w:rsidRPr="009006FC" w:rsidRDefault="00223698" w:rsidP="00223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2" w:type="dxa"/>
          </w:tcPr>
          <w:p w:rsidR="00223698" w:rsidRPr="009006FC" w:rsidRDefault="00223698" w:rsidP="00223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74" w:type="dxa"/>
          </w:tcPr>
          <w:p w:rsidR="00223698" w:rsidRPr="00035644" w:rsidRDefault="00223698" w:rsidP="00223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1:20</w:t>
            </w:r>
          </w:p>
        </w:tc>
      </w:tr>
      <w:tr w:rsidR="00223698" w:rsidRPr="009006FC" w:rsidTr="00223698">
        <w:tc>
          <w:tcPr>
            <w:tcW w:w="1027" w:type="dxa"/>
          </w:tcPr>
          <w:p w:rsidR="00223698" w:rsidRPr="00A16707" w:rsidRDefault="00223698" w:rsidP="00873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707">
              <w:rPr>
                <w:rFonts w:ascii="Times New Roman" w:hAnsi="Times New Roman" w:cs="Times New Roman"/>
                <w:sz w:val="18"/>
                <w:szCs w:val="18"/>
              </w:rPr>
              <w:t>2016-17</w:t>
            </w:r>
          </w:p>
        </w:tc>
        <w:tc>
          <w:tcPr>
            <w:tcW w:w="437" w:type="dxa"/>
          </w:tcPr>
          <w:p w:rsidR="00223698" w:rsidRPr="009006FC" w:rsidRDefault="00223698" w:rsidP="00223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" w:type="dxa"/>
          </w:tcPr>
          <w:p w:rsidR="00223698" w:rsidRPr="009006FC" w:rsidRDefault="00223698" w:rsidP="00223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:rsidR="00223698" w:rsidRPr="009006FC" w:rsidRDefault="00223698" w:rsidP="00223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223698" w:rsidRPr="009006FC" w:rsidRDefault="00223698" w:rsidP="00223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2" w:type="dxa"/>
          </w:tcPr>
          <w:p w:rsidR="00223698" w:rsidRPr="009006FC" w:rsidRDefault="00223698" w:rsidP="00223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74" w:type="dxa"/>
          </w:tcPr>
          <w:p w:rsidR="00223698" w:rsidRPr="00035644" w:rsidRDefault="00223698" w:rsidP="00223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1:35</w:t>
            </w:r>
          </w:p>
        </w:tc>
      </w:tr>
      <w:tr w:rsidR="00223698" w:rsidRPr="009006FC" w:rsidTr="00223698">
        <w:tc>
          <w:tcPr>
            <w:tcW w:w="1027" w:type="dxa"/>
          </w:tcPr>
          <w:p w:rsidR="00223698" w:rsidRPr="00A16707" w:rsidRDefault="00223698" w:rsidP="00873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707">
              <w:rPr>
                <w:rFonts w:ascii="Times New Roman" w:hAnsi="Times New Roman" w:cs="Times New Roman"/>
                <w:sz w:val="18"/>
                <w:szCs w:val="18"/>
              </w:rPr>
              <w:t>2017-18</w:t>
            </w:r>
          </w:p>
        </w:tc>
        <w:tc>
          <w:tcPr>
            <w:tcW w:w="437" w:type="dxa"/>
          </w:tcPr>
          <w:p w:rsidR="00223698" w:rsidRPr="00D270CD" w:rsidRDefault="00223698" w:rsidP="00223698">
            <w:pPr>
              <w:jc w:val="center"/>
            </w:pPr>
            <w:r w:rsidRPr="00D270CD">
              <w:t>3</w:t>
            </w:r>
          </w:p>
        </w:tc>
        <w:tc>
          <w:tcPr>
            <w:tcW w:w="427" w:type="dxa"/>
          </w:tcPr>
          <w:p w:rsidR="00223698" w:rsidRPr="00D270CD" w:rsidRDefault="00223698" w:rsidP="00223698">
            <w:pPr>
              <w:jc w:val="center"/>
            </w:pPr>
            <w:r w:rsidRPr="00D270CD">
              <w:t>1</w:t>
            </w:r>
          </w:p>
        </w:tc>
        <w:tc>
          <w:tcPr>
            <w:tcW w:w="587" w:type="dxa"/>
          </w:tcPr>
          <w:p w:rsidR="00223698" w:rsidRPr="00D270CD" w:rsidRDefault="00223698" w:rsidP="00223698">
            <w:pPr>
              <w:jc w:val="center"/>
            </w:pPr>
            <w:r w:rsidRPr="00D270CD">
              <w:t>4</w:t>
            </w:r>
          </w:p>
        </w:tc>
        <w:tc>
          <w:tcPr>
            <w:tcW w:w="516" w:type="dxa"/>
          </w:tcPr>
          <w:p w:rsidR="00223698" w:rsidRPr="00D270CD" w:rsidRDefault="00223698" w:rsidP="00223698">
            <w:pPr>
              <w:jc w:val="center"/>
            </w:pPr>
            <w:r w:rsidRPr="00D270CD">
              <w:t>8</w:t>
            </w:r>
          </w:p>
        </w:tc>
        <w:tc>
          <w:tcPr>
            <w:tcW w:w="602" w:type="dxa"/>
          </w:tcPr>
          <w:p w:rsidR="00223698" w:rsidRDefault="00223698" w:rsidP="00223698">
            <w:pPr>
              <w:jc w:val="center"/>
            </w:pPr>
            <w:r w:rsidRPr="00D270CD">
              <w:t>16</w:t>
            </w:r>
          </w:p>
        </w:tc>
        <w:tc>
          <w:tcPr>
            <w:tcW w:w="1474" w:type="dxa"/>
          </w:tcPr>
          <w:p w:rsidR="00223698" w:rsidRPr="009006FC" w:rsidRDefault="00223698" w:rsidP="00873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698" w:rsidRPr="009006FC" w:rsidTr="00223698">
        <w:tc>
          <w:tcPr>
            <w:tcW w:w="1027" w:type="dxa"/>
          </w:tcPr>
          <w:p w:rsidR="00223698" w:rsidRPr="00A16707" w:rsidRDefault="00223698" w:rsidP="00873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707">
              <w:rPr>
                <w:rFonts w:ascii="Times New Roman" w:hAnsi="Times New Roman" w:cs="Times New Roman"/>
                <w:sz w:val="18"/>
                <w:szCs w:val="18"/>
              </w:rPr>
              <w:t>2018-19</w:t>
            </w:r>
          </w:p>
        </w:tc>
        <w:tc>
          <w:tcPr>
            <w:tcW w:w="437" w:type="dxa"/>
          </w:tcPr>
          <w:p w:rsidR="00223698" w:rsidRPr="008607FE" w:rsidRDefault="00223698" w:rsidP="00223698">
            <w:pPr>
              <w:jc w:val="center"/>
            </w:pPr>
            <w:r w:rsidRPr="008607FE">
              <w:t>3</w:t>
            </w:r>
          </w:p>
        </w:tc>
        <w:tc>
          <w:tcPr>
            <w:tcW w:w="427" w:type="dxa"/>
          </w:tcPr>
          <w:p w:rsidR="00223698" w:rsidRPr="008607FE" w:rsidRDefault="00223698" w:rsidP="00223698">
            <w:pPr>
              <w:jc w:val="center"/>
            </w:pPr>
            <w:r w:rsidRPr="008607FE">
              <w:t>1</w:t>
            </w:r>
          </w:p>
        </w:tc>
        <w:tc>
          <w:tcPr>
            <w:tcW w:w="587" w:type="dxa"/>
          </w:tcPr>
          <w:p w:rsidR="00223698" w:rsidRPr="008607FE" w:rsidRDefault="00223698" w:rsidP="00223698">
            <w:pPr>
              <w:jc w:val="center"/>
            </w:pPr>
            <w:r w:rsidRPr="008607FE">
              <w:t>4</w:t>
            </w:r>
          </w:p>
        </w:tc>
        <w:tc>
          <w:tcPr>
            <w:tcW w:w="516" w:type="dxa"/>
          </w:tcPr>
          <w:p w:rsidR="00223698" w:rsidRPr="008607FE" w:rsidRDefault="00223698" w:rsidP="00223698">
            <w:pPr>
              <w:jc w:val="center"/>
            </w:pPr>
            <w:r w:rsidRPr="008607FE">
              <w:t>8</w:t>
            </w:r>
          </w:p>
        </w:tc>
        <w:tc>
          <w:tcPr>
            <w:tcW w:w="602" w:type="dxa"/>
          </w:tcPr>
          <w:p w:rsidR="00223698" w:rsidRDefault="00223698" w:rsidP="00223698">
            <w:pPr>
              <w:jc w:val="center"/>
            </w:pPr>
            <w:r w:rsidRPr="008607FE">
              <w:t>16</w:t>
            </w:r>
          </w:p>
        </w:tc>
        <w:tc>
          <w:tcPr>
            <w:tcW w:w="1474" w:type="dxa"/>
          </w:tcPr>
          <w:p w:rsidR="00223698" w:rsidRPr="009006FC" w:rsidRDefault="00223698" w:rsidP="00873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9320" w:type="dxa"/>
        <w:tblInd w:w="5" w:type="dxa"/>
        <w:tblLook w:val="04A0" w:firstRow="1" w:lastRow="0" w:firstColumn="1" w:lastColumn="0" w:noHBand="0" w:noVBand="1"/>
      </w:tblPr>
      <w:tblGrid>
        <w:gridCol w:w="1400"/>
        <w:gridCol w:w="530"/>
        <w:gridCol w:w="531"/>
        <w:gridCol w:w="876"/>
        <w:gridCol w:w="833"/>
        <w:gridCol w:w="1358"/>
        <w:gridCol w:w="723"/>
        <w:gridCol w:w="722"/>
        <w:gridCol w:w="1191"/>
        <w:gridCol w:w="578"/>
        <w:gridCol w:w="578"/>
      </w:tblGrid>
      <w:tr w:rsidR="00F77030" w:rsidRPr="00477E61" w:rsidTr="00873592">
        <w:trPr>
          <w:trHeight w:val="29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30" w:rsidRPr="00477E61" w:rsidRDefault="00F77030" w:rsidP="0087359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30" w:rsidRPr="00477E61" w:rsidRDefault="00F77030" w:rsidP="0087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30" w:rsidRPr="00477E61" w:rsidRDefault="00F77030" w:rsidP="0087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30" w:rsidRPr="00477E61" w:rsidRDefault="00F77030" w:rsidP="0087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030" w:rsidRPr="00477E61" w:rsidRDefault="00F77030" w:rsidP="00873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E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030" w:rsidRPr="00477E61" w:rsidRDefault="00F77030" w:rsidP="00873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E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030" w:rsidRPr="00477E61" w:rsidRDefault="00F77030" w:rsidP="00873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E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030" w:rsidRPr="00477E61" w:rsidRDefault="00F77030" w:rsidP="00873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E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030" w:rsidRPr="00477E61" w:rsidRDefault="00F77030" w:rsidP="00873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E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030" w:rsidRPr="00477E61" w:rsidRDefault="00F77030" w:rsidP="00873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E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030" w:rsidRPr="00477E61" w:rsidRDefault="00F77030" w:rsidP="00873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E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7030" w:rsidRPr="00477E61" w:rsidTr="00873592">
        <w:trPr>
          <w:trHeight w:val="29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7030" w:rsidRPr="00477E61" w:rsidTr="00873592">
        <w:trPr>
          <w:trHeight w:val="29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7030" w:rsidRPr="00477E61" w:rsidTr="004243C1">
        <w:trPr>
          <w:trHeight w:val="14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FF7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7030" w:rsidRPr="00477E61" w:rsidTr="00873592">
        <w:trPr>
          <w:trHeight w:val="29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7030" w:rsidRPr="00477E61" w:rsidTr="00873592">
        <w:trPr>
          <w:trHeight w:val="29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87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030" w:rsidRPr="00477E61" w:rsidRDefault="00F77030" w:rsidP="00FF7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48264E" w:rsidRPr="004243C1" w:rsidRDefault="0048264E" w:rsidP="004243C1"/>
    <w:sectPr w:rsidR="0048264E" w:rsidRPr="004243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F39" w:rsidRDefault="00C82F39" w:rsidP="004243C1">
      <w:pPr>
        <w:spacing w:after="0" w:line="240" w:lineRule="auto"/>
      </w:pPr>
      <w:r>
        <w:separator/>
      </w:r>
    </w:p>
  </w:endnote>
  <w:endnote w:type="continuationSeparator" w:id="0">
    <w:p w:rsidR="00C82F39" w:rsidRDefault="00C82F39" w:rsidP="00424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F39" w:rsidRDefault="00C82F39" w:rsidP="004243C1">
      <w:pPr>
        <w:spacing w:after="0" w:line="240" w:lineRule="auto"/>
      </w:pPr>
      <w:r>
        <w:separator/>
      </w:r>
    </w:p>
  </w:footnote>
  <w:footnote w:type="continuationSeparator" w:id="0">
    <w:p w:rsidR="00C82F39" w:rsidRDefault="00C82F39" w:rsidP="00424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D3D4D"/>
    <w:multiLevelType w:val="hybridMultilevel"/>
    <w:tmpl w:val="61EE70AE"/>
    <w:lvl w:ilvl="0" w:tplc="CC72BB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30"/>
    <w:rsid w:val="001769F4"/>
    <w:rsid w:val="00182E4A"/>
    <w:rsid w:val="00222A57"/>
    <w:rsid w:val="00223698"/>
    <w:rsid w:val="00406707"/>
    <w:rsid w:val="004243C1"/>
    <w:rsid w:val="0048264E"/>
    <w:rsid w:val="006607F4"/>
    <w:rsid w:val="00A1531D"/>
    <w:rsid w:val="00AE7BFA"/>
    <w:rsid w:val="00C82F39"/>
    <w:rsid w:val="00F77030"/>
    <w:rsid w:val="00FC78DF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030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03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7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4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3C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4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3C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030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03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7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4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3C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4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3C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Shyama Rath</dc:creator>
  <cp:lastModifiedBy>Shyama Rath</cp:lastModifiedBy>
  <cp:revision>2</cp:revision>
  <dcterms:created xsi:type="dcterms:W3CDTF">2018-04-19T10:54:00Z</dcterms:created>
  <dcterms:modified xsi:type="dcterms:W3CDTF">2018-04-19T10:54:00Z</dcterms:modified>
</cp:coreProperties>
</file>